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hint="eastAsia" w:ascii="宋体" w:hAnsi="宋体" w:cs="宋体"/>
          <w:bCs/>
          <w:iCs/>
          <w:sz w:val="24"/>
        </w:rPr>
        <w:t>证券代码：002372                        证券简称：伟星新材</w:t>
      </w:r>
    </w:p>
    <w:p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hint="eastAsia" w:ascii="宋体" w:hAnsi="宋体" w:cs="宋体"/>
          <w:b/>
          <w:bCs/>
          <w:iCs/>
          <w:sz w:val="32"/>
          <w:szCs w:val="32"/>
        </w:rPr>
        <w:t>浙江伟星新型建材股份有限公司投资者关系活动记录表</w:t>
      </w:r>
    </w:p>
    <w:p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hint="eastAsia" w:ascii="宋体" w:hAnsi="宋体" w:cs="宋体"/>
          <w:bCs/>
          <w:iCs/>
          <w:sz w:val="24"/>
        </w:rPr>
        <w:t xml:space="preserve">                                   </w:t>
      </w:r>
    </w:p>
    <w:p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hint="eastAsia" w:ascii="宋体" w:hAnsi="宋体" w:cs="宋体"/>
          <w:bCs/>
          <w:iCs/>
          <w:sz w:val="24"/>
        </w:rPr>
        <w:t xml:space="preserve">                    </w:t>
      </w:r>
      <w:r>
        <w:rPr>
          <w:rFonts w:hint="eastAsia" w:ascii="宋体" w:hAnsi="宋体" w:cs="宋体"/>
          <w:bCs/>
          <w:iCs/>
          <w:szCs w:val="21"/>
        </w:rPr>
        <w:t xml:space="preserve"> 编号：2015-011</w:t>
      </w:r>
    </w:p>
    <w:tbl>
      <w:tblPr>
        <w:tblStyle w:val="7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Style w:val="6"/>
                <w:rFonts w:ascii="宋体" w:hAnsi="宋体" w:cs="宋体"/>
              </w:rPr>
            </w:pPr>
            <w:r>
              <w:rPr>
                <w:rStyle w:val="6"/>
                <w:rFonts w:hint="eastAsia" w:ascii="宋体" w:hAnsi="宋体" w:cs="宋体"/>
              </w:rPr>
              <w:t>√特定对象调研        □分析师会议</w:t>
            </w:r>
          </w:p>
          <w:p>
            <w:pPr>
              <w:spacing w:line="360" w:lineRule="auto"/>
              <w:rPr>
                <w:rStyle w:val="6"/>
                <w:rFonts w:ascii="宋体" w:hAnsi="宋体" w:cs="宋体"/>
              </w:rPr>
            </w:pPr>
            <w:r>
              <w:rPr>
                <w:rStyle w:val="6"/>
                <w:rFonts w:hint="eastAsia" w:ascii="宋体" w:hAnsi="宋体" w:cs="宋体"/>
              </w:rPr>
              <w:t>□媒体采访            □业绩说明会</w:t>
            </w:r>
          </w:p>
          <w:p>
            <w:pPr>
              <w:spacing w:line="360" w:lineRule="auto"/>
              <w:rPr>
                <w:rStyle w:val="6"/>
                <w:rFonts w:ascii="宋体" w:hAnsi="宋体" w:cs="宋体"/>
              </w:rPr>
            </w:pPr>
            <w:r>
              <w:rPr>
                <w:rStyle w:val="6"/>
                <w:rFonts w:hint="eastAsia" w:ascii="宋体" w:hAnsi="宋体" w:cs="宋体"/>
              </w:rPr>
              <w:t>□新闻发布会          □路演活动</w:t>
            </w:r>
          </w:p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Style w:val="6"/>
                <w:rFonts w:hint="eastAsia" w:ascii="宋体" w:hAnsi="宋体" w:cs="宋体"/>
              </w:rPr>
              <w:t>□现场参观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国金证券：郑晓刚。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2015年11月12日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Style w:val="6"/>
                <w:rFonts w:hint="eastAsia" w:ascii="宋体" w:hAnsi="宋体" w:cs="宋体"/>
              </w:rPr>
              <w:t>谭梅、李晓明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投资者关系活动主要内容介绍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</w:t>
            </w:r>
            <w:r>
              <w:rPr>
                <w:rFonts w:ascii="宋体" w:hAnsi="宋体" w:cs="宋体"/>
                <w:szCs w:val="21"/>
              </w:rPr>
              <w:t>公司的产能情况以及</w:t>
            </w:r>
            <w:r>
              <w:rPr>
                <w:rFonts w:hint="eastAsia" w:ascii="宋体" w:hAnsi="宋体" w:cs="宋体"/>
                <w:szCs w:val="21"/>
              </w:rPr>
              <w:t>主营产品的</w:t>
            </w:r>
            <w:r>
              <w:rPr>
                <w:rFonts w:ascii="宋体" w:hAnsi="宋体" w:cs="宋体"/>
                <w:szCs w:val="21"/>
              </w:rPr>
              <w:t>市占率</w:t>
            </w:r>
            <w:r>
              <w:rPr>
                <w:rFonts w:hint="eastAsia" w:ascii="宋体" w:hAnsi="宋体" w:cs="宋体"/>
                <w:szCs w:val="21"/>
              </w:rPr>
              <w:t>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答：公司总产能15万吨左右。目前占公司主营业务收入比例最高的PPR管道，其全国的市场占有率为5-6%左右；PE管道和HDPE双壁波纹管等主营产品的</w:t>
            </w:r>
            <w:r>
              <w:rPr>
                <w:rFonts w:ascii="宋体" w:hAnsi="宋体" w:cs="宋体"/>
                <w:szCs w:val="21"/>
              </w:rPr>
              <w:t>市占率</w:t>
            </w:r>
            <w:r>
              <w:rPr>
                <w:rFonts w:hint="eastAsia" w:ascii="宋体" w:hAnsi="宋体" w:cs="宋体"/>
                <w:szCs w:val="21"/>
              </w:rPr>
              <w:t>在5%以下。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2、公司产品的运输半径如何？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</w:t>
            </w:r>
            <w:r>
              <w:rPr>
                <w:rFonts w:hint="eastAsia" w:ascii="宋体" w:hAnsi="宋体"/>
                <w:color w:val="000000"/>
                <w:szCs w:val="21"/>
              </w:rPr>
              <w:t>公司小口径</w:t>
            </w:r>
            <w:r>
              <w:rPr>
                <w:rFonts w:hint="eastAsia" w:ascii="宋体" w:hAnsi="宋体" w:cs="宋体"/>
                <w:szCs w:val="21"/>
              </w:rPr>
              <w:t>产品运输半径相对较大，1000公里左右；</w:t>
            </w:r>
            <w:r>
              <w:rPr>
                <w:rFonts w:hint="eastAsia" w:ascii="宋体" w:hAnsi="宋体"/>
                <w:color w:val="000000"/>
                <w:szCs w:val="21"/>
              </w:rPr>
              <w:t>大口径产品运输半径一般为500公里左右。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</w:t>
            </w:r>
            <w:r>
              <w:rPr>
                <w:rFonts w:ascii="宋体" w:hAnsi="宋体" w:cs="宋体"/>
                <w:szCs w:val="21"/>
              </w:rPr>
              <w:t>未来如何保持当前的业绩增速，</w:t>
            </w:r>
            <w:r>
              <w:rPr>
                <w:rFonts w:hint="eastAsia" w:ascii="宋体" w:hAnsi="宋体" w:cs="宋体"/>
                <w:szCs w:val="21"/>
              </w:rPr>
              <w:t>零售和工程业务如何规划？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答：公司坚持“零售为先，工程并举”</w:t>
            </w:r>
            <w:r>
              <w:rPr>
                <w:rFonts w:hint="eastAsia"/>
              </w:rPr>
              <w:t>的经营策略</w:t>
            </w:r>
            <w:r>
              <w:rPr>
                <w:rFonts w:hint="eastAsia" w:ascii="宋体" w:hAnsi="宋体" w:cs="宋体"/>
                <w:szCs w:val="21"/>
              </w:rPr>
              <w:t>，一方面继续完善渠道建设和布局，做好星管家服务，放大渠道功能，促进零售业务稳步</w:t>
            </w:r>
            <w:r>
              <w:rPr>
                <w:rFonts w:hint="eastAsia"/>
              </w:rPr>
              <w:t>增长；</w:t>
            </w:r>
            <w:r>
              <w:rPr>
                <w:rFonts w:hint="eastAsia" w:ascii="宋体" w:hAnsi="宋体" w:cs="宋体"/>
                <w:szCs w:val="21"/>
              </w:rPr>
              <w:t>另一方面在控制经营风险的前提下，积极开拓工程</w:t>
            </w:r>
            <w:r>
              <w:rPr>
                <w:rFonts w:hint="eastAsia"/>
              </w:rPr>
              <w:t>业务</w:t>
            </w:r>
            <w:r>
              <w:rPr>
                <w:rFonts w:hint="eastAsia" w:ascii="宋体" w:hAnsi="宋体" w:cs="宋体"/>
                <w:szCs w:val="21"/>
              </w:rPr>
              <w:t>，促进销售规模的提升。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4、公司对地下管廊政策的看法？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地下管廊作为国家重点支持的民生工程，是一项创新城市基础设施建设的重要举措，如果能做好的确是可以消除“马路拉链”、“空中蜘蛛网”等突出问题的；地下管廊的使用和推广在欧洲已经很成熟，具有一定的可操作性。我认为要建好这个工程，政府的主导作用和协调机制以及运营模式等很重要，从规划到实施、从试点到全面推开会有一个过程，不会立马见成效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5、公司主要有哪些产品用于地下管廊？目前是否已经取得订单？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答：目前公司产品应用于城市地下管网建设的主要有PE供水管、PE燃气管、HDPE双壁波纹管等。地下管廊的建设需先设计、再建廊体，再铺设管道，目前试点城市总体还处于设计阶段，批量的订单业务极少。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6、公司今年的经营目标以及业绩情况？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答：公司2015年的经营目标为：营业收入力争达到27.20亿元，成本及费用力争控制在22.10亿元左右；预计全年净利润较上年同期增长0—30%。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附件清单（如有）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szCs w:val="21"/>
              </w:rPr>
              <w:t>2015年11月1</w:t>
            </w:r>
            <w:r>
              <w:rPr>
                <w:rFonts w:hint="eastAsia" w:ascii="宋体" w:hAnsi="宋体" w:cs="宋体"/>
                <w:bCs/>
                <w:iCs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iCs/>
                <w:szCs w:val="21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E23"/>
    <w:rsid w:val="0003329B"/>
    <w:rsid w:val="000F760E"/>
    <w:rsid w:val="002F6583"/>
    <w:rsid w:val="003A6F4E"/>
    <w:rsid w:val="003D79EE"/>
    <w:rsid w:val="005D6DFC"/>
    <w:rsid w:val="00634537"/>
    <w:rsid w:val="00642716"/>
    <w:rsid w:val="00835C82"/>
    <w:rsid w:val="00874019"/>
    <w:rsid w:val="008A0170"/>
    <w:rsid w:val="008C59AC"/>
    <w:rsid w:val="00901553"/>
    <w:rsid w:val="009228D3"/>
    <w:rsid w:val="00987222"/>
    <w:rsid w:val="00A351AF"/>
    <w:rsid w:val="00A41D3D"/>
    <w:rsid w:val="00A933B5"/>
    <w:rsid w:val="00B81815"/>
    <w:rsid w:val="00C109B2"/>
    <w:rsid w:val="00C276CA"/>
    <w:rsid w:val="00C9128C"/>
    <w:rsid w:val="00D335BD"/>
    <w:rsid w:val="00D47155"/>
    <w:rsid w:val="00D74200"/>
    <w:rsid w:val="00D75E23"/>
    <w:rsid w:val="00DC1831"/>
    <w:rsid w:val="00DF7966"/>
    <w:rsid w:val="00EF0FC5"/>
    <w:rsid w:val="00FA508A"/>
    <w:rsid w:val="00FD7956"/>
    <w:rsid w:val="00FF1BFF"/>
    <w:rsid w:val="75BB13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0"/>
    <w:unhideWhenUsed/>
    <w:uiPriority w:val="99"/>
    <w:rPr>
      <w:b/>
      <w:bCs/>
    </w:rPr>
  </w:style>
  <w:style w:type="paragraph" w:styleId="3">
    <w:name w:val="annotation text"/>
    <w:basedOn w:val="1"/>
    <w:link w:val="9"/>
    <w:unhideWhenUsed/>
    <w:uiPriority w:val="99"/>
    <w:pPr>
      <w:jc w:val="left"/>
    </w:p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character" w:styleId="6">
    <w:name w:val="annotation reference"/>
    <w:basedOn w:val="5"/>
    <w:semiHidden/>
    <w:uiPriority w:val="0"/>
    <w:rPr>
      <w:sz w:val="21"/>
      <w:szCs w:val="21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9">
    <w:name w:val="批注文字 Char"/>
    <w:basedOn w:val="5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主题 Char"/>
    <w:basedOn w:val="9"/>
    <w:link w:val="2"/>
    <w:semiHidden/>
    <w:uiPriority w:val="99"/>
    <w:rPr>
      <w:b/>
      <w:bCs/>
    </w:rPr>
  </w:style>
  <w:style w:type="character" w:customStyle="1" w:styleId="11">
    <w:name w:val="批注框文本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1111111111111111111111111111111111111111111111111111</Company>
  <Pages>2</Pages>
  <Words>157</Words>
  <Characters>900</Characters>
  <Lines>7</Lines>
  <Paragraphs>2</Paragraphs>
  <TotalTime>0</TotalTime>
  <ScaleCrop>false</ScaleCrop>
  <LinksUpToDate>false</LinksUpToDate>
  <CharactersWithSpaces>1055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2015-11-12T08:04:00Z</dcterms:created>
  <dc:creator>1111111111111111111111111111111111111111111111111111</dc:creator>
  <cp:lastModifiedBy>Administrator</cp:lastModifiedBy>
  <dcterms:modified xsi:type="dcterms:W3CDTF">2015-11-18T01:37:52Z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